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Heading1"/>
        <w:spacing w:before="79"/>
        <w:jc w:val="right"/>
      </w:pPr>
      <w:r>
        <w:rPr/>
        <w:t>ADOPTED – SEPTEMBER 22,</w:t>
      </w:r>
      <w:r>
        <w:rPr>
          <w:spacing w:val="-9"/>
        </w:rPr>
        <w:t> </w:t>
      </w:r>
      <w:r>
        <w:rPr/>
        <w:t>2026</w:t>
      </w:r>
    </w:p>
    <w:p>
      <w:pPr>
        <w:spacing w:before="0"/>
        <w:ind w:left="0" w:right="98" w:firstLine="0"/>
        <w:jc w:val="right"/>
        <w:rPr>
          <w:b/>
          <w:sz w:val="24"/>
        </w:rPr>
      </w:pPr>
      <w:r>
        <w:rPr>
          <w:b/>
          <w:sz w:val="24"/>
        </w:rPr>
        <w:t>AGENDA ITEM NO.</w:t>
      </w:r>
      <w:r>
        <w:rPr>
          <w:b/>
          <w:spacing w:val="-6"/>
          <w:sz w:val="24"/>
        </w:rPr>
        <w:t> </w:t>
      </w:r>
      <w:r>
        <w:rPr>
          <w:b/>
          <w:sz w:val="24"/>
        </w:rPr>
        <w:t>22</w:t>
      </w:r>
    </w:p>
    <w:p>
      <w:pPr>
        <w:pStyle w:val="BodyText"/>
        <w:spacing w:before="8"/>
        <w:rPr>
          <w:b/>
          <w:sz w:val="19"/>
        </w:rPr>
      </w:pPr>
    </w:p>
    <w:p>
      <w:pPr>
        <w:pStyle w:val="BodyText"/>
        <w:spacing w:before="90"/>
        <w:ind w:left="120"/>
      </w:pPr>
      <w:r>
        <w:rPr/>
        <w:t>Introduced by the County Services and Finance Committees of the:</w:t>
      </w:r>
    </w:p>
    <w:p>
      <w:pPr>
        <w:pStyle w:val="BodyText"/>
      </w:pPr>
    </w:p>
    <w:p>
      <w:pPr>
        <w:pStyle w:val="BodyText"/>
        <w:ind w:left="622" w:right="606"/>
        <w:jc w:val="center"/>
      </w:pPr>
      <w:r>
        <w:rPr/>
        <w:t>INGHAM COUNTY BOARD OF COMMISSIONERS</w:t>
      </w:r>
    </w:p>
    <w:p>
      <w:pPr>
        <w:pStyle w:val="BodyText"/>
      </w:pPr>
    </w:p>
    <w:p>
      <w:pPr>
        <w:pStyle w:val="Heading1"/>
        <w:ind w:left="628" w:right="606"/>
      </w:pPr>
      <w:r>
        <w:rPr/>
        <w:t>RESOLUTION TO AUTHORIZE A LETTER OF UNDERSTANDING WITH THE INGHAM COUNTY EMPLOYEES' ASSOCIATION REGARDING PRIOR-PERIOD ON-CALL COMPENSATION IN THE DRAIN OFFICE</w:t>
      </w:r>
    </w:p>
    <w:p>
      <w:pPr>
        <w:pStyle w:val="BodyText"/>
        <w:rPr>
          <w:b/>
        </w:rPr>
      </w:pPr>
    </w:p>
    <w:p>
      <w:pPr>
        <w:spacing w:before="0"/>
        <w:ind w:left="625" w:right="606" w:firstLine="0"/>
        <w:jc w:val="center"/>
        <w:rPr>
          <w:b/>
          <w:sz w:val="24"/>
        </w:rPr>
      </w:pPr>
      <w:r>
        <w:rPr>
          <w:b/>
          <w:sz w:val="24"/>
        </w:rPr>
        <w:t>RESOLUTION #26 – 439</w:t>
      </w:r>
    </w:p>
    <w:p>
      <w:pPr>
        <w:pStyle w:val="BodyText"/>
        <w:rPr>
          <w:b/>
          <w:sz w:val="26"/>
        </w:rPr>
      </w:pPr>
    </w:p>
    <w:p>
      <w:pPr>
        <w:pStyle w:val="BodyText"/>
        <w:rPr>
          <w:b/>
          <w:sz w:val="22"/>
        </w:rPr>
      </w:pPr>
    </w:p>
    <w:p>
      <w:pPr>
        <w:pStyle w:val="BodyText"/>
        <w:ind w:left="120" w:right="179"/>
      </w:pPr>
      <w:r>
        <w:rPr/>
        <w:t>WHEREAS, Ingham County and the Ingham County Employees' Association (ICEA) are parties to a collective bargaining agreement covering County Professional employees assigned to the Drain Office; and</w:t>
      </w:r>
    </w:p>
    <w:p>
      <w:pPr>
        <w:pStyle w:val="BodyText"/>
      </w:pPr>
    </w:p>
    <w:p>
      <w:pPr>
        <w:pStyle w:val="BodyText"/>
        <w:spacing w:before="1"/>
        <w:ind w:left="120" w:right="203"/>
      </w:pPr>
      <w:r>
        <w:rPr/>
        <w:t>WHEREAS, an administrative review identified a need to reconcile prior-period on-call compensation with the applicable compensation provisions following position changes; and</w:t>
      </w:r>
    </w:p>
    <w:p>
      <w:pPr>
        <w:pStyle w:val="BodyText"/>
        <w:spacing w:before="11"/>
        <w:rPr>
          <w:sz w:val="23"/>
        </w:rPr>
      </w:pPr>
    </w:p>
    <w:p>
      <w:pPr>
        <w:pStyle w:val="BodyText"/>
        <w:ind w:left="120" w:right="963"/>
      </w:pPr>
      <w:r>
        <w:rPr/>
        <w:t>WHEREAS, Human Resources, the Drain Office, and ICEA reviewed the relevant records and reached agreement on a limited corrective resolution; and</w:t>
      </w:r>
    </w:p>
    <w:p>
      <w:pPr>
        <w:pStyle w:val="BodyText"/>
      </w:pPr>
    </w:p>
    <w:p>
      <w:pPr>
        <w:pStyle w:val="BodyText"/>
        <w:ind w:left="120" w:right="449"/>
      </w:pPr>
      <w:r>
        <w:rPr/>
        <w:t>WHEREAS, the proposed Letter of Understanding documents the agreed resolution, fully resolves the prior- period matter, and is expressly nonprecedential; and</w:t>
      </w:r>
    </w:p>
    <w:p>
      <w:pPr>
        <w:pStyle w:val="BodyText"/>
      </w:pPr>
    </w:p>
    <w:p>
      <w:pPr>
        <w:pStyle w:val="BodyText"/>
        <w:ind w:left="120"/>
      </w:pPr>
      <w:r>
        <w:rPr/>
        <w:t>WHEREAS, the maximum value of the corrective compensation authorized by the Letter of Understanding is</w:t>
      </w:r>
    </w:p>
    <w:p>
      <w:pPr>
        <w:pStyle w:val="BodyText"/>
        <w:ind w:left="120"/>
      </w:pPr>
      <w:r>
        <w:rPr/>
        <w:t>$44,261.03; and</w:t>
      </w:r>
    </w:p>
    <w:p>
      <w:pPr>
        <w:pStyle w:val="BodyText"/>
      </w:pPr>
    </w:p>
    <w:p>
      <w:pPr>
        <w:pStyle w:val="BodyText"/>
        <w:ind w:left="120" w:right="602"/>
      </w:pPr>
      <w:r>
        <w:rPr/>
        <w:t>WHEREAS, all costs associated with the Letter of Understanding will be charged entirely to Drain District Funds, and no General Fund dollars will be used.</w:t>
      </w:r>
    </w:p>
    <w:p>
      <w:pPr>
        <w:pStyle w:val="BodyText"/>
      </w:pPr>
    </w:p>
    <w:p>
      <w:pPr>
        <w:pStyle w:val="BodyText"/>
        <w:ind w:left="120" w:right="374"/>
      </w:pPr>
      <w:r>
        <w:rPr/>
        <w:t>THEREFORE BE IT RESOLVED, that the Ingham County Board of Commissioners authorizes execution of the Letter of Understanding with ICEA regarding prior-period on-call compensation in the Drain Office.</w:t>
      </w:r>
    </w:p>
    <w:p>
      <w:pPr>
        <w:pStyle w:val="BodyText"/>
      </w:pPr>
    </w:p>
    <w:p>
      <w:pPr>
        <w:pStyle w:val="BodyText"/>
        <w:ind w:left="119" w:right="366"/>
      </w:pPr>
      <w:r>
        <w:rPr/>
        <w:t>BE IT FURTHER RESOLVED, that corrective compensation may be provided in the form or combination of forms specified in the Letter of Understanding, with a total value not to exceed $44,261.03, plus applicable County-paid payroll taxes and Michigan Employees’ Retirement System (MERS)/retirement costs.</w:t>
      </w:r>
    </w:p>
    <w:p>
      <w:pPr>
        <w:pStyle w:val="BodyText"/>
      </w:pPr>
    </w:p>
    <w:p>
      <w:pPr>
        <w:pStyle w:val="BodyText"/>
        <w:spacing w:before="1"/>
        <w:ind w:left="119" w:right="1009"/>
      </w:pPr>
      <w:r>
        <w:rPr/>
        <w:t>BE IT FURTHER RESOLVED, that the Controller/Administrator is authorized to make any necessary adjustments within applicable Drain Office accounts to implement this resolution.</w:t>
      </w:r>
    </w:p>
    <w:p>
      <w:pPr>
        <w:pStyle w:val="BodyText"/>
        <w:spacing w:before="11"/>
        <w:rPr>
          <w:sz w:val="23"/>
        </w:rPr>
      </w:pPr>
    </w:p>
    <w:p>
      <w:pPr>
        <w:pStyle w:val="BodyText"/>
        <w:ind w:left="119" w:right="184"/>
      </w:pPr>
      <w:r>
        <w:rPr/>
        <w:t>BE IT FURTHER RESOLVED, that the Board Chairperson is authorized to sign the Letter of Understanding and any necessary related documents on behalf of the County, consistent with this resolution and after approval as to form by the County Attorney.</w:t>
      </w:r>
    </w:p>
    <w:p>
      <w:pPr>
        <w:pStyle w:val="BodyText"/>
      </w:pPr>
    </w:p>
    <w:p>
      <w:pPr>
        <w:spacing w:before="0"/>
        <w:ind w:left="119" w:right="0" w:firstLine="0"/>
        <w:jc w:val="left"/>
        <w:rPr>
          <w:sz w:val="24"/>
        </w:rPr>
      </w:pPr>
      <w:r>
        <w:rPr>
          <w:b/>
          <w:sz w:val="24"/>
        </w:rPr>
        <w:t>COUNTY SERVICES: Yeas: </w:t>
      </w:r>
      <w:r>
        <w:rPr>
          <w:sz w:val="24"/>
        </w:rPr>
        <w:t>Pratt, Lawrence, Grebner, Sebolt, Peña, Johnson, Maiville, Ruest</w:t>
      </w:r>
    </w:p>
    <w:p>
      <w:pPr>
        <w:tabs>
          <w:tab w:pos="2231" w:val="left" w:leader="none"/>
          <w:tab w:pos="3909" w:val="left" w:leader="none"/>
        </w:tabs>
        <w:spacing w:before="0"/>
        <w:ind w:left="720" w:right="0" w:firstLine="0"/>
        <w:jc w:val="left"/>
        <w:rPr>
          <w:b/>
          <w:sz w:val="24"/>
        </w:rPr>
      </w:pPr>
      <w:r>
        <w:rPr>
          <w:b/>
          <w:sz w:val="24"/>
        </w:rPr>
        <w:t>Nays</w:t>
      </w:r>
      <w:r>
        <w:rPr>
          <w:sz w:val="24"/>
        </w:rPr>
        <w:t>:</w:t>
      </w:r>
      <w:r>
        <w:rPr>
          <w:spacing w:val="59"/>
          <w:sz w:val="24"/>
        </w:rPr>
        <w:t> </w:t>
      </w:r>
      <w:r>
        <w:rPr>
          <w:sz w:val="24"/>
        </w:rPr>
        <w:t>None</w:t>
        <w:tab/>
      </w:r>
      <w:r>
        <w:rPr>
          <w:b/>
          <w:sz w:val="24"/>
        </w:rPr>
        <w:t>Absent:</w:t>
      </w:r>
      <w:r>
        <w:rPr>
          <w:b/>
          <w:spacing w:val="-3"/>
          <w:sz w:val="24"/>
        </w:rPr>
        <w:t> </w:t>
      </w:r>
      <w:r>
        <w:rPr>
          <w:sz w:val="24"/>
        </w:rPr>
        <w:t>None</w:t>
        <w:tab/>
      </w:r>
      <w:r>
        <w:rPr>
          <w:b/>
          <w:sz w:val="24"/>
        </w:rPr>
        <w:t>Approved</w:t>
      </w:r>
      <w:r>
        <w:rPr>
          <w:b/>
          <w:spacing w:val="3"/>
          <w:sz w:val="24"/>
        </w:rPr>
        <w:t> </w:t>
      </w:r>
      <w:r>
        <w:rPr>
          <w:b/>
          <w:sz w:val="24"/>
        </w:rPr>
        <w:t>09/15/26</w:t>
      </w:r>
    </w:p>
    <w:p>
      <w:pPr>
        <w:spacing w:after="0"/>
        <w:jc w:val="left"/>
        <w:rPr>
          <w:sz w:val="24"/>
        </w:rPr>
        <w:sectPr>
          <w:type w:val="continuous"/>
          <w:pgSz w:w="12240" w:h="15840"/>
          <w:pgMar w:top="1360" w:bottom="280" w:left="600" w:right="620"/>
        </w:sectPr>
      </w:pPr>
    </w:p>
    <w:p>
      <w:pPr>
        <w:spacing w:before="79"/>
        <w:ind w:left="120" w:right="0" w:firstLine="0"/>
        <w:jc w:val="left"/>
        <w:rPr>
          <w:sz w:val="24"/>
        </w:rPr>
      </w:pPr>
      <w:r>
        <w:rPr>
          <w:b/>
          <w:sz w:val="24"/>
        </w:rPr>
        <w:t>FINANCE: Yeas: </w:t>
      </w:r>
      <w:r>
        <w:rPr>
          <w:sz w:val="24"/>
        </w:rPr>
        <w:t>Grebner, Morgan, Tennis, Sebolt, Maiville</w:t>
      </w:r>
    </w:p>
    <w:p>
      <w:pPr>
        <w:tabs>
          <w:tab w:pos="2183" w:val="left" w:leader="none"/>
          <w:tab w:pos="4900" w:val="left" w:leader="none"/>
        </w:tabs>
        <w:spacing w:before="41"/>
        <w:ind w:left="720" w:right="0" w:firstLine="0"/>
        <w:jc w:val="left"/>
        <w:rPr>
          <w:b/>
          <w:sz w:val="24"/>
        </w:rPr>
      </w:pPr>
      <w:r>
        <w:rPr>
          <w:b/>
          <w:sz w:val="24"/>
        </w:rPr>
        <w:t>Nays:</w:t>
      </w:r>
      <w:r>
        <w:rPr>
          <w:b/>
          <w:spacing w:val="58"/>
          <w:sz w:val="24"/>
        </w:rPr>
        <w:t> </w:t>
      </w:r>
      <w:r>
        <w:rPr>
          <w:sz w:val="24"/>
        </w:rPr>
        <w:t>None</w:t>
        <w:tab/>
      </w:r>
      <w:r>
        <w:rPr>
          <w:b/>
          <w:sz w:val="24"/>
        </w:rPr>
        <w:t>Absent:</w:t>
      </w:r>
      <w:r>
        <w:rPr>
          <w:b/>
          <w:spacing w:val="57"/>
          <w:sz w:val="24"/>
        </w:rPr>
        <w:t> </w:t>
      </w:r>
      <w:r>
        <w:rPr>
          <w:sz w:val="24"/>
        </w:rPr>
        <w:t>Polsdofer,</w:t>
      </w:r>
      <w:r>
        <w:rPr>
          <w:spacing w:val="-1"/>
          <w:sz w:val="24"/>
        </w:rPr>
        <w:t> </w:t>
      </w:r>
      <w:r>
        <w:rPr>
          <w:sz w:val="24"/>
        </w:rPr>
        <w:t>Pratt</w:t>
        <w:tab/>
      </w:r>
      <w:r>
        <w:rPr>
          <w:b/>
          <w:sz w:val="24"/>
        </w:rPr>
        <w:t>Approved  09/16/26</w:t>
      </w:r>
    </w:p>
    <w:sectPr>
      <w:pgSz w:w="12240" w:h="15840"/>
      <w:pgMar w:top="1360" w:bottom="280" w:left="600" w:right="62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rPr>
  </w:style>
  <w:style w:styleId="BodyText" w:type="paragraph">
    <w:name w:val="Body Text"/>
    <w:basedOn w:val="Normal"/>
    <w:uiPriority w:val="1"/>
    <w:qFormat/>
    <w:pPr/>
    <w:rPr>
      <w:rFonts w:ascii="Times New Roman" w:hAnsi="Times New Roman" w:eastAsia="Times New Roman" w:cs="Times New Roman"/>
      <w:sz w:val="24"/>
      <w:szCs w:val="24"/>
    </w:rPr>
  </w:style>
  <w:style w:styleId="Heading1" w:type="paragraph">
    <w:name w:val="Heading 1"/>
    <w:basedOn w:val="Normal"/>
    <w:uiPriority w:val="1"/>
    <w:qFormat/>
    <w:pPr>
      <w:ind w:right="98"/>
      <w:jc w:val="center"/>
      <w:outlineLvl w:val="1"/>
    </w:pPr>
    <w:rPr>
      <w:rFonts w:ascii="Times New Roman" w:hAnsi="Times New Roman" w:eastAsia="Times New Roman" w:cs="Times New Roman"/>
      <w:b/>
      <w:bCs/>
      <w:sz w:val="24"/>
      <w:szCs w:val="24"/>
    </w:rPr>
  </w:style>
  <w:style w:styleId="ListParagraph" w:type="paragraph">
    <w:name w:val="List Paragraph"/>
    <w:basedOn w:val="Normal"/>
    <w:uiPriority w:val="1"/>
    <w:qFormat/>
    <w:pPr/>
    <w:rPr/>
  </w:style>
  <w:style w:styleId="TableParagraph" w:type="paragraph">
    <w:name w:val="Table Paragraph"/>
    <w:basedOn w:val="Normal"/>
    <w:uiPriority w:val="1"/>
    <w:qFormat/>
    <w:pPr/>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Heather Barry</dc:creator>
  <dcterms:created xsi:type="dcterms:W3CDTF">2026-09-23T14:50:16Z</dcterms:created>
  <dcterms:modified xsi:type="dcterms:W3CDTF">2026-09-23T14:50:16Z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2026-09-23T00:00:00Z</vt:filetime>
  </property>
  <property fmtid="{D5CDD505-2E9C-101B-9397-08002B2CF9AE}" pid="3" name="Creator">
    <vt:lpwstr>Acrobat PDFMaker 20 for Word</vt:lpwstr>
  </property>
  <property fmtid="{D5CDD505-2E9C-101B-9397-08002B2CF9AE}" pid="4" name="LastSaved">
    <vt:filetime>2026-09-23T00:00:00Z</vt:filetime>
  </property>
</Properties>
</file>